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rHeight w:val="1338" w:hRule="atLeast"/>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iCs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iCs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iCs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iCs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w:t>
      </w:r>
      <w:r w:rsidDel="00000000" w:rsidR="00000000" w:rsidRPr="00000000">
        <w:rPr>
          <w:rtl w:val="0"/>
        </w:rPr>
        <w:t xml:space="preserve"> </w:t>
      </w:r>
      <w:r w:rsidDel="00000000" w:rsidR="00000000" w:rsidRPr="00000000">
        <w:rPr>
          <w:rFonts w:ascii="Arial" w:cs="Arial" w:eastAsia="Arial" w:hAnsi="Arial"/>
          <w:sz w:val="24"/>
          <w:szCs w:val="24"/>
          <w:rtl w:val="0"/>
        </w:rPr>
        <w:t xml:space="preserve">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19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bCs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1"/>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tl w:val="0"/>
        </w:rPr>
        <w:t xml:space="preserve">     </w:t>
      </w:r>
      <w:r w:rsidDel="00000000" w:rsidR="00000000" w:rsidRPr="00000000">
        <w:rPr>
          <w:rFonts w:ascii="Arial" w:cs="Arial" w:eastAsia="Arial" w:hAnsi="Arial"/>
          <w:b w:val="1"/>
          <w:bCs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4">
      <w:pPr>
        <w:keepNext w:val="1"/>
        <w:numPr>
          <w:ilvl w:val="3"/>
          <w:numId w:val="11"/>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bCs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5">
      <w:pPr>
        <w:keepNext w:val="1"/>
        <w:numPr>
          <w:ilvl w:val="3"/>
          <w:numId w:val="11"/>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1"/>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(the Buyer) is Controller and the Supplier is Processor</w:t>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processing is required in order to ensure that the processor can effectively deliver the Services under the Agreement which is for a project delivery leadership development programme for senior leaders in government and public sector.</w:t>
            </w:r>
          </w:p>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i w:val="1"/>
                <w:iCs w:val="1"/>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r w:rsidDel="00000000" w:rsidR="00000000" w:rsidRPr="00000000">
              <w:rPr>
                <w:rtl w:val="0"/>
              </w:rPr>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sz w:val="24"/>
                <w:szCs w:val="24"/>
                <w:rtl w:val="0"/>
              </w:rPr>
              <w:t xml:space="preserve">Basic personal identifiers (Names, DoB, Contact details etc.), of existing UK Government staff as applicants, participants, and/or alumni of the development programme.</w:t>
            </w:r>
            <w:r w:rsidDel="00000000" w:rsidR="00000000" w:rsidRPr="00000000">
              <w:rPr>
                <w:rtl w:val="0"/>
              </w:rPr>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sz w:val="24"/>
                <w:szCs w:val="24"/>
                <w:rtl w:val="0"/>
              </w:rPr>
              <w:t xml:space="preserve">Programme and contract performance data of participants.</w:t>
            </w:r>
            <w:r w:rsidDel="00000000" w:rsidR="00000000" w:rsidRPr="00000000">
              <w:rPr>
                <w:rtl w:val="0"/>
              </w:rPr>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Equality, diversity and inclusion information.</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details and experience to judge eligibility for the programme.</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programme data from 360/self awareness assessments, assignments, pass/fail scores, competency evidence and final assessment evidence submissions.</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sz w:val="24"/>
                <w:szCs w:val="24"/>
                <w:rtl w:val="0"/>
              </w:rPr>
              <w:t xml:space="preserve">Additional identifiers to be confirmed through negotiation/agreement with Supplier as necessary for delivery and participation in programme.</w:t>
            </w:r>
            <w:r w:rsidDel="00000000" w:rsidR="00000000" w:rsidRPr="00000000">
              <w:rPr>
                <w:rtl w:val="0"/>
              </w:rPr>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the Supplier is a Controller for any personal data they process as part of their existing business operations prior to the initiation of the Supplier relationship. The Supplier will become a Controller for any categories of personal data that it processes outside of the Relevant Authorities documented instructions even where the processing is required to comply with a statutory obligation.</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The duration of the Project Leadership Programme 2025 Agreement from [</w:t>
            </w:r>
            <w:r w:rsidDel="00000000" w:rsidR="00000000" w:rsidRPr="00000000">
              <w:rPr>
                <w:rFonts w:ascii="Arial" w:cs="Arial" w:eastAsia="Arial" w:hAnsi="Arial"/>
                <w:b w:val="1"/>
                <w:bCs w:val="1"/>
                <w:sz w:val="24"/>
                <w:szCs w:val="24"/>
                <w:rtl w:val="0"/>
              </w:rPr>
              <w:t xml:space="preserve">ADD commencement of services date</w:t>
            </w:r>
            <w:r w:rsidDel="00000000" w:rsidR="00000000" w:rsidRPr="00000000">
              <w:rPr>
                <w:rFonts w:ascii="Arial" w:cs="Arial" w:eastAsia="Arial" w:hAnsi="Arial"/>
                <w:sz w:val="24"/>
                <w:szCs w:val="24"/>
                <w:rtl w:val="0"/>
              </w:rPr>
              <w:t xml:space="preserve">] to expiry on [</w:t>
            </w:r>
            <w:r w:rsidDel="00000000" w:rsidR="00000000" w:rsidRPr="00000000">
              <w:rPr>
                <w:rFonts w:ascii="Arial" w:cs="Arial" w:eastAsia="Arial" w:hAnsi="Arial"/>
                <w:b w:val="1"/>
                <w:bCs w:val="1"/>
                <w:sz w:val="24"/>
                <w:szCs w:val="24"/>
                <w:rtl w:val="0"/>
              </w:rPr>
              <w:t xml:space="preserve">ADD initial term expiry date</w:t>
            </w:r>
            <w:r w:rsidDel="00000000" w:rsidR="00000000" w:rsidRPr="00000000">
              <w:rPr>
                <w:rFonts w:ascii="Arial" w:cs="Arial" w:eastAsia="Arial" w:hAnsi="Arial"/>
                <w:sz w:val="24"/>
                <w:szCs w:val="24"/>
                <w:rtl w:val="0"/>
              </w:rPr>
              <w:t xml:space="preserve">] or longer where the contract extension options of up to 2 years are effected and any termination assistance period is put in place as per the exit management schedule 10</w:t>
            </w:r>
          </w:p>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purposes of the processing are for the registration, participation, completion of participants on the PLP, (and any other programmes/workshops delivered under the contract) and subsequent alumni activities; for the undertaking of official duties by non-participants in the delivery of the Services; for the appraisal of the impacts and benefits of the programme to participants and their departments; for internal civil service monitoring of the project delivery profession workforce.</w:t>
            </w:r>
          </w:p>
        </w:tc>
      </w:tr>
      <w:tr>
        <w:trPr>
          <w:cantSplit w:val="0"/>
          <w:trHeight w:val="1400" w:hRule="atLeast"/>
          <w:tblHeader w:val="0"/>
        </w:trPr>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Name, grade, department, date of birth, email, telephone, gender, sexual orientation, ethnicity, religion, disability, care responsibilities, social mobility questions, work experience and qualifications, government profession status, officials and faculty feedback/comments, photos and videos, assessment scores and pass or fail information, talent comments, academic assignments and scores, 360 feedback reports, personal development plans and CVs.</w:t>
            </w:r>
          </w:p>
        </w:tc>
      </w:tr>
      <w:tr>
        <w:trPr>
          <w:cantSplit w:val="0"/>
          <w:trHeight w:val="1560" w:hRule="atLeast"/>
          <w:tblHeader w:val="0"/>
        </w:trPr>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Civil Servants, Public Servants or other government approved officials nominated and enrolled on the PLP (and any other programmes/workshops delivered under the contract or undertaking official duties for the programme; supplier staff. </w:t>
            </w:r>
          </w:p>
        </w:tc>
      </w:tr>
      <w:tr>
        <w:trPr>
          <w:cantSplit w:val="0"/>
          <w:trHeight w:val="1660" w:hRule="atLeast"/>
          <w:tblHeader w:val="0"/>
        </w:trPr>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All data will be returned to the data controller and then destroyed by the processor after all obligations have been met and completed under the Agreement. </w:t>
            </w:r>
          </w:p>
          <w:p w:rsidR="00000000" w:rsidDel="00000000" w:rsidP="00000000" w:rsidRDefault="00000000" w:rsidRPr="00000000" w14:paraId="0000008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However the special category data collected for Equality, Diversity and Inclusion purposes will be required to be held by the supplier only for the duration of the individual’s time on the PLP.  Once the individuals have graduated from PLP, anonymised cohort statistics will be supplied to the Authority and the personal data deleted.  A typical programme duration is 12 months but individuals are given up to 24 months from first programme activity to complete should they need to defer any aspects of their learning.</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6">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89">
      <w:pPr>
        <w:keepNext w:val="1"/>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Joint Controller Status and Allocation of Responsibilities </w:t>
      </w:r>
    </w:p>
    <w:p w:rsidR="00000000" w:rsidDel="00000000" w:rsidP="00000000" w:rsidRDefault="00000000" w:rsidRPr="00000000" w14:paraId="0000008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B">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w:t>
      </w:r>
      <w:r w:rsidDel="00000000" w:rsidR="00000000" w:rsidRPr="00000000">
        <w:rPr>
          <w:rFonts w:ascii="Arial" w:cs="Arial" w:eastAsia="Arial" w:hAnsi="Arial"/>
          <w:sz w:val="24"/>
          <w:szCs w:val="24"/>
          <w:rtl w:val="0"/>
        </w:rPr>
        <w:t xml:space="preserve">the [Supplier/Relevant Authority]: </w:t>
      </w:r>
    </w:p>
    <w:p w:rsidR="00000000" w:rsidDel="00000000" w:rsidP="00000000" w:rsidRDefault="00000000" w:rsidRPr="00000000" w14:paraId="0000008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8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2">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Undertakings of both Parties</w:t>
      </w:r>
    </w:p>
    <w:p w:rsidR="00000000" w:rsidDel="00000000" w:rsidP="00000000" w:rsidRDefault="00000000" w:rsidRPr="00000000" w14:paraId="00000093">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[x] months on:</w:t>
      </w:r>
    </w:p>
    <w:p w:rsidR="00000000" w:rsidDel="00000000" w:rsidP="00000000" w:rsidRDefault="00000000" w:rsidRPr="00000000" w14:paraId="00000095">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9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97">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8">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99">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9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9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9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1">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2">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A3">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AB">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AC">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Breach</w:t>
      </w:r>
    </w:p>
    <w:p w:rsidR="00000000" w:rsidDel="00000000" w:rsidP="00000000" w:rsidRDefault="00000000" w:rsidRPr="00000000" w14:paraId="000000AD">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1">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2">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3">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4">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B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B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B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B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B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BB">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p w:rsidR="00000000" w:rsidDel="00000000" w:rsidP="00000000" w:rsidRDefault="00000000" w:rsidRPr="00000000" w14:paraId="000000BC">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B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B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1">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Assessments</w:t>
      </w:r>
    </w:p>
    <w:p w:rsidR="00000000" w:rsidDel="00000000" w:rsidP="00000000" w:rsidRDefault="00000000" w:rsidRPr="00000000" w14:paraId="000000C2">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C6">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ICO Guidance</w:t>
      </w:r>
    </w:p>
    <w:p w:rsidR="00000000" w:rsidDel="00000000" w:rsidP="00000000" w:rsidRDefault="00000000" w:rsidRPr="00000000" w14:paraId="000000C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9">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Liabilities for Data Protection Breach</w:t>
      </w:r>
    </w:p>
    <w:p w:rsidR="00000000" w:rsidDel="00000000" w:rsidP="00000000" w:rsidRDefault="00000000" w:rsidRPr="00000000" w14:paraId="000000CA">
      <w:pPr>
        <w:ind w:left="720" w:firstLine="0"/>
        <w:rPr>
          <w:rFonts w:ascii="Arial" w:cs="Arial" w:eastAsia="Arial" w:hAnsi="Arial"/>
          <w:b w:val="1"/>
          <w:bCs w:val="1"/>
          <w:sz w:val="24"/>
          <w:szCs w:val="24"/>
        </w:rPr>
      </w:pPr>
      <w:bookmarkStart w:colFirst="0" w:colLast="0" w:name="_heading=h.yskq8hhem2ql" w:id="1"/>
      <w:bookmarkEnd w:id="1"/>
      <w:r w:rsidDel="00000000" w:rsidR="00000000" w:rsidRPr="00000000">
        <w:rPr>
          <w:rFonts w:ascii="Arial" w:cs="Arial" w:eastAsia="Arial" w:hAnsi="Arial"/>
          <w:b w:val="1"/>
          <w:bCs w:val="1"/>
          <w:sz w:val="24"/>
          <w:szCs w:val="24"/>
          <w:rtl w:val="0"/>
        </w:rPr>
        <w:t xml:space="preserve">[Guidance: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B">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bCs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C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CF">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0">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2">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D6">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w:t>
      </w:r>
    </w:p>
    <w:p w:rsidR="00000000" w:rsidDel="00000000" w:rsidP="00000000" w:rsidRDefault="00000000" w:rsidRPr="00000000" w14:paraId="000000D7">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iCs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iCs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8">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9">
      <w:pPr>
        <w:numPr>
          <w:ilvl w:val="3"/>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A">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D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numPr>
          <w:ilvl w:val="2"/>
          <w:numId w:val="11"/>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bCs w:val="1"/>
          <w:color w:val="000000"/>
          <w:sz w:val="24"/>
          <w:szCs w:val="24"/>
        </w:rPr>
      </w:pPr>
      <w:bookmarkStart w:colFirst="0" w:colLast="0" w:name="_heading=h.44sinio" w:id="2"/>
      <w:bookmarkEnd w:id="2"/>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8">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B">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11 (Processing Data)</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CCZP25A01 RM6219</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-13326</wp:posOffset>
          </wp:positionV>
          <wp:extent cx="849085" cy="685627"/>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basedOn w:val="DefaultParagraphFont"/>
    <w:link w:val="Heading1"/>
    <w:uiPriority w:val="9"/>
    <w:rsid w:val="002404A4"/>
    <w:rPr>
      <w:rFonts w:ascii="Arial" w:cs="Arial" w:hAnsi="Arial"/>
      <w:lang w:eastAsia="zh-CN"/>
    </w:rPr>
  </w:style>
  <w:style w:type="character" w:styleId="Heading4Char" w:customStyle="1">
    <w:name w:val="Heading 4 Char"/>
    <w:basedOn w:val="DefaultParagraphFont"/>
    <w:link w:val="Heading4"/>
    <w:uiPriority w:val="9"/>
    <w:semiHidden w:val="1"/>
    <w:rsid w:val="002404A4"/>
    <w:rPr>
      <w:rFonts w:ascii="Arial" w:cs="Arial" w:hAnsi="Arial"/>
      <w:lang w:eastAsia="zh-CN"/>
    </w:rPr>
  </w:style>
  <w:style w:type="character" w:styleId="Heading5Char" w:customStyle="1">
    <w:name w:val="Heading 5 Char"/>
    <w:basedOn w:val="DefaultParagraphFont"/>
    <w:link w:val="Heading5"/>
    <w:uiPriority w:val="9"/>
    <w:semiHidden w:val="1"/>
    <w:rsid w:val="002404A4"/>
    <w:rPr>
      <w:rFonts w:ascii="Arial" w:cs="Arial" w:hAnsi="Arial"/>
      <w:lang w:eastAsia="zh-CN"/>
    </w:rPr>
  </w:style>
  <w:style w:type="character" w:styleId="Heading6Char" w:customStyle="1">
    <w:name w:val="Heading 6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EA6873"/>
    <w:rPr>
      <w:color w:val="605e5c"/>
      <w:shd w:color="auto" w:fill="e1dfdd" w:val="clear"/>
    </w:rPr>
  </w:style>
  <w:style w:type="table" w:styleId="a5"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53Z6sM5vrYTwh1LbXVPQTfd9dg==">CgMxLjAyCGguZ2pkZ3hzMg5oLnlza3E4aGhlbTJxbDIJaC40NHNpbmlvOAByITFUVFlvMXdJMTRuLUJ6bW5yZEZ1VlplRXAtbS12WTZrNw==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2025-07-21T13:06:00Z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0x010100F3DA492754083E45834DB37B66A75980001F76E8D0D1D30F4082466F4699A7F268</vt:lpwstr>
  </property>
  <property fmtid="{D5CDD505-2E9C-101B-9397-08002B2CF9AE}" pid="4" name="_dlc_DocIdItemGuid">
    <vt:lpwstr>a44623be-caf9-46c5-bfef-413a6b44a096</vt:lpwstr>
  </property>
  <property fmtid="{D5CDD505-2E9C-101B-9397-08002B2CF9AE}" pid="5" name="HMT_DocumentType">
    <vt:lpwstr>4;#Other|c871d64c-a333-451d-b49a-28a9a74c0368</vt:lpwstr>
  </property>
  <property fmtid="{D5CDD505-2E9C-101B-9397-08002B2CF9AE}" pid="6" name="HMT_Group">
    <vt:lpwstr/>
  </property>
  <property fmtid="{D5CDD505-2E9C-101B-9397-08002B2CF9AE}" pid="7" name="MediaServiceImageTags">
    <vt:lpwstr/>
  </property>
  <property fmtid="{D5CDD505-2E9C-101B-9397-08002B2CF9AE}" pid="8" name="HMT_SubTeam">
    <vt:lpwstr/>
  </property>
  <property fmtid="{D5CDD505-2E9C-101B-9397-08002B2CF9AE}" pid="9" name="HMT_Team">
    <vt:lpwstr/>
  </property>
  <property fmtid="{D5CDD505-2E9C-101B-9397-08002B2CF9AE}" pid="10" name="HMT_Category">
    <vt:lpwstr/>
  </property>
  <property fmtid="{D5CDD505-2E9C-101B-9397-08002B2CF9AE}" pid="11" name="HMT_Classification">
    <vt:lpwstr/>
  </property>
</Properties>
</file>